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E0" w:rsidRPr="000119B7" w:rsidRDefault="00F133E0" w:rsidP="00F133E0">
      <w:pPr>
        <w:pStyle w:val="NoSpacing"/>
        <w:jc w:val="center"/>
        <w:rPr>
          <w:b/>
        </w:rPr>
      </w:pPr>
    </w:p>
    <w:p w:rsidR="00A01C72" w:rsidRPr="000119B7" w:rsidRDefault="000119B7" w:rsidP="00F133E0">
      <w:pPr>
        <w:pStyle w:val="NoSpacing"/>
        <w:jc w:val="center"/>
        <w:rPr>
          <w:b/>
          <w:sz w:val="28"/>
          <w:szCs w:val="28"/>
        </w:rPr>
      </w:pPr>
      <w:proofErr w:type="spellStart"/>
      <w:r w:rsidRPr="000119B7">
        <w:rPr>
          <w:b/>
          <w:sz w:val="28"/>
          <w:szCs w:val="28"/>
        </w:rPr>
        <w:t>Bartonella</w:t>
      </w:r>
      <w:proofErr w:type="spellEnd"/>
      <w:r w:rsidRPr="000119B7">
        <w:rPr>
          <w:b/>
          <w:sz w:val="28"/>
          <w:szCs w:val="28"/>
        </w:rPr>
        <w:t xml:space="preserve"> </w:t>
      </w:r>
      <w:proofErr w:type="spellStart"/>
      <w:r w:rsidRPr="000119B7">
        <w:rPr>
          <w:b/>
          <w:sz w:val="28"/>
          <w:szCs w:val="28"/>
        </w:rPr>
        <w:t>henselae</w:t>
      </w:r>
      <w:proofErr w:type="spellEnd"/>
    </w:p>
    <w:p w:rsidR="00EF2310" w:rsidRPr="000119B7" w:rsidRDefault="00EF2310" w:rsidP="00F133E0">
      <w:pPr>
        <w:pStyle w:val="NoSpacing"/>
        <w:rPr>
          <w:rFonts w:cs="Times New Roman"/>
        </w:rPr>
      </w:pPr>
    </w:p>
    <w:p w:rsidR="00EF2310" w:rsidRPr="000119B7" w:rsidRDefault="000119B7" w:rsidP="000119B7">
      <w:pPr>
        <w:pStyle w:val="NoSpacing"/>
      </w:pPr>
      <w:r w:rsidRPr="000119B7">
        <w:t xml:space="preserve">Electron micrograph of </w:t>
      </w:r>
      <w:proofErr w:type="spellStart"/>
      <w:r w:rsidRPr="000119B7">
        <w:rPr>
          <w:lang w:bidi="he-IL"/>
        </w:rPr>
        <w:t>Bartonella</w:t>
      </w:r>
      <w:proofErr w:type="spellEnd"/>
      <w:r w:rsidRPr="000119B7">
        <w:rPr>
          <w:lang w:bidi="he-IL"/>
        </w:rPr>
        <w:t xml:space="preserve"> </w:t>
      </w:r>
      <w:proofErr w:type="spellStart"/>
      <w:r w:rsidRPr="000119B7">
        <w:rPr>
          <w:lang w:bidi="he-IL"/>
        </w:rPr>
        <w:t>bacilliformis</w:t>
      </w:r>
      <w:proofErr w:type="spellEnd"/>
      <w:r w:rsidRPr="000119B7">
        <w:t xml:space="preserve">, the </w:t>
      </w:r>
      <w:proofErr w:type="spellStart"/>
      <w:r w:rsidRPr="000119B7">
        <w:rPr>
          <w:lang w:bidi="he-IL"/>
        </w:rPr>
        <w:t>Bartonella</w:t>
      </w:r>
      <w:proofErr w:type="spellEnd"/>
      <w:r w:rsidRPr="000119B7">
        <w:rPr>
          <w:lang w:bidi="he-IL"/>
        </w:rPr>
        <w:t xml:space="preserve"> </w:t>
      </w:r>
      <w:r w:rsidRPr="000119B7">
        <w:t xml:space="preserve">species that is closely related to </w:t>
      </w:r>
      <w:proofErr w:type="spellStart"/>
      <w:r w:rsidRPr="000119B7">
        <w:rPr>
          <w:lang w:bidi="he-IL"/>
        </w:rPr>
        <w:t>Bartonella</w:t>
      </w:r>
      <w:proofErr w:type="spellEnd"/>
      <w:r w:rsidRPr="000119B7">
        <w:rPr>
          <w:lang w:bidi="he-IL"/>
        </w:rPr>
        <w:t xml:space="preserve"> </w:t>
      </w:r>
      <w:proofErr w:type="spellStart"/>
      <w:r w:rsidRPr="000119B7">
        <w:rPr>
          <w:lang w:bidi="he-IL"/>
        </w:rPr>
        <w:t>henselae</w:t>
      </w:r>
      <w:proofErr w:type="spellEnd"/>
      <w:r w:rsidRPr="000119B7">
        <w:rPr>
          <w:lang w:bidi="he-IL"/>
        </w:rPr>
        <w:t xml:space="preserve"> </w:t>
      </w:r>
      <w:r w:rsidRPr="000119B7">
        <w:t>but infects humans.</w:t>
      </w:r>
    </w:p>
    <w:p w:rsidR="000119B7" w:rsidRPr="000119B7" w:rsidRDefault="000119B7" w:rsidP="00F133E0">
      <w:pPr>
        <w:pStyle w:val="NoSpacing"/>
        <w:rPr>
          <w:rFonts w:cs="Times New Roman"/>
        </w:rPr>
      </w:pPr>
    </w:p>
    <w:p w:rsidR="00EF2310" w:rsidRPr="000119B7" w:rsidRDefault="00EF2310" w:rsidP="00F133E0">
      <w:pPr>
        <w:pStyle w:val="NoSpacing"/>
      </w:pPr>
      <w:r w:rsidRPr="000119B7">
        <w:rPr>
          <w:rFonts w:cs="Times New Roman"/>
        </w:rPr>
        <w:t>Samples: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F2310" w:rsidRPr="000119B7" w:rsidTr="00EF2310">
        <w:tc>
          <w:tcPr>
            <w:tcW w:w="314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Blood</w:t>
            </w:r>
          </w:p>
        </w:tc>
        <w:tc>
          <w:tcPr>
            <w:tcW w:w="620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EDTA-blood as is, purple-top tubes or</w:t>
            </w:r>
          </w:p>
          <w:p w:rsidR="00EF2310" w:rsidRPr="000119B7" w:rsidRDefault="00EF2310" w:rsidP="00F133E0">
            <w:pPr>
              <w:pStyle w:val="NoSpacing"/>
            </w:pPr>
            <w:r w:rsidRPr="000119B7">
              <w:t>EDTA-blood preserved in sample buffer (preferred)</w:t>
            </w:r>
          </w:p>
        </w:tc>
      </w:tr>
      <w:tr w:rsidR="00EF2310" w:rsidRPr="000119B7" w:rsidTr="000852D5">
        <w:tc>
          <w:tcPr>
            <w:tcW w:w="9350" w:type="dxa"/>
            <w:gridSpan w:val="2"/>
          </w:tcPr>
          <w:p w:rsidR="00EF2310" w:rsidRPr="000119B7" w:rsidRDefault="00EF2310" w:rsidP="00F133E0">
            <w:pPr>
              <w:pStyle w:val="NoSpacing"/>
            </w:pPr>
            <w:r w:rsidRPr="000119B7">
              <w:t>Notes:  Send all samples at room temperature, preferably preserved in sample buffer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EF2310" w:rsidP="00F133E0">
      <w:pPr>
        <w:pStyle w:val="NoSpacing"/>
      </w:pPr>
      <w:r w:rsidRPr="000119B7">
        <w:t>Interpretation of PCR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2310" w:rsidRPr="000119B7" w:rsidTr="00EF2310">
        <w:tc>
          <w:tcPr>
            <w:tcW w:w="4675" w:type="dxa"/>
          </w:tcPr>
          <w:p w:rsidR="00EF2310" w:rsidRPr="000119B7" w:rsidRDefault="00EF2310" w:rsidP="000119B7">
            <w:pPr>
              <w:pStyle w:val="NoSpacing"/>
            </w:pPr>
            <w:r w:rsidRPr="000119B7">
              <w:t>High positive</w:t>
            </w:r>
            <w:r w:rsidRPr="000119B7">
              <w:br/>
              <w:t xml:space="preserve">(&gt; </w:t>
            </w:r>
            <w:r w:rsidR="000119B7" w:rsidRPr="000119B7">
              <w:t>1,0</w:t>
            </w:r>
            <w:r w:rsidRPr="000119B7">
              <w:t>00 copies/ml blood)</w:t>
            </w:r>
          </w:p>
        </w:tc>
        <w:tc>
          <w:tcPr>
            <w:tcW w:w="4675" w:type="dxa"/>
            <w:vMerge w:val="restart"/>
          </w:tcPr>
          <w:p w:rsidR="00EF2310" w:rsidRPr="000119B7" w:rsidRDefault="000119B7" w:rsidP="00F133E0">
            <w:pPr>
              <w:pStyle w:val="NoSpacing"/>
            </w:pPr>
            <w:proofErr w:type="spellStart"/>
            <w:r w:rsidRPr="000119B7">
              <w:t>Bartonellosis</w:t>
            </w:r>
            <w:proofErr w:type="spellEnd"/>
            <w:r w:rsidRPr="000119B7">
              <w:t xml:space="preserve"> [interpretation must be correlated to clinical symptoms]</w:t>
            </w:r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Low positive</w:t>
            </w:r>
          </w:p>
          <w:p w:rsidR="00EF2310" w:rsidRPr="000119B7" w:rsidRDefault="00EF2310" w:rsidP="000119B7">
            <w:pPr>
              <w:pStyle w:val="NoSpacing"/>
            </w:pPr>
            <w:r w:rsidRPr="000119B7">
              <w:t xml:space="preserve">(&lt; </w:t>
            </w:r>
            <w:r w:rsidR="000119B7" w:rsidRPr="000119B7">
              <w:t>1.0</w:t>
            </w:r>
            <w:r w:rsidRPr="000119B7">
              <w:t>00 copies/ml blood)</w:t>
            </w:r>
          </w:p>
        </w:tc>
        <w:tc>
          <w:tcPr>
            <w:tcW w:w="4675" w:type="dxa"/>
            <w:vMerge/>
          </w:tcPr>
          <w:p w:rsidR="00EF2310" w:rsidRPr="000119B7" w:rsidRDefault="00EF2310" w:rsidP="00F133E0">
            <w:pPr>
              <w:pStyle w:val="NoSpacing"/>
            </w:pPr>
          </w:p>
        </w:tc>
      </w:tr>
      <w:tr w:rsidR="00EF2310" w:rsidRPr="000119B7" w:rsidTr="00EF2310">
        <w:tc>
          <w:tcPr>
            <w:tcW w:w="4675" w:type="dxa"/>
          </w:tcPr>
          <w:p w:rsidR="00EF2310" w:rsidRPr="000119B7" w:rsidRDefault="00EF2310" w:rsidP="00F133E0">
            <w:pPr>
              <w:pStyle w:val="NoSpacing"/>
            </w:pPr>
            <w:r w:rsidRPr="000119B7">
              <w:t>Negative</w:t>
            </w:r>
          </w:p>
        </w:tc>
        <w:tc>
          <w:tcPr>
            <w:tcW w:w="4675" w:type="dxa"/>
          </w:tcPr>
          <w:p w:rsidR="00EF2310" w:rsidRPr="000119B7" w:rsidRDefault="000119B7" w:rsidP="00F133E0">
            <w:pPr>
              <w:pStyle w:val="NoSpacing"/>
            </w:pPr>
            <w:proofErr w:type="spellStart"/>
            <w:r w:rsidRPr="000119B7">
              <w:t>Bartonella</w:t>
            </w:r>
            <w:proofErr w:type="spellEnd"/>
            <w:r w:rsidRPr="000119B7">
              <w:t xml:space="preserve"> </w:t>
            </w:r>
            <w:proofErr w:type="spellStart"/>
            <w:r w:rsidRPr="000119B7">
              <w:t>henselae</w:t>
            </w:r>
            <w:proofErr w:type="spellEnd"/>
            <w:r w:rsidRPr="000119B7">
              <w:t xml:space="preserve"> </w:t>
            </w:r>
            <w:proofErr w:type="spellStart"/>
            <w:r w:rsidR="00EF2310" w:rsidRPr="000119B7">
              <w:t>not</w:t>
            </w:r>
            <w:proofErr w:type="spellEnd"/>
            <w:r w:rsidR="00EF2310" w:rsidRPr="000119B7">
              <w:t xml:space="preserve"> detectable</w:t>
            </w:r>
          </w:p>
        </w:tc>
      </w:tr>
    </w:tbl>
    <w:p w:rsidR="00EF2310" w:rsidRPr="000119B7" w:rsidRDefault="00EF2310" w:rsidP="00F133E0">
      <w:pPr>
        <w:pStyle w:val="NoSpacing"/>
      </w:pPr>
    </w:p>
    <w:p w:rsidR="00EF2310" w:rsidRPr="000119B7" w:rsidRDefault="000119B7" w:rsidP="00F133E0">
      <w:pPr>
        <w:pStyle w:val="NoSpacing"/>
        <w:rPr>
          <w:b/>
        </w:rPr>
      </w:pPr>
      <w:proofErr w:type="spellStart"/>
      <w:r w:rsidRPr="000119B7">
        <w:rPr>
          <w:b/>
        </w:rPr>
        <w:t>Bartonella</w:t>
      </w:r>
      <w:proofErr w:type="spellEnd"/>
      <w:r w:rsidRPr="000119B7">
        <w:rPr>
          <w:b/>
        </w:rPr>
        <w:t xml:space="preserve"> </w:t>
      </w:r>
      <w:proofErr w:type="spellStart"/>
      <w:r w:rsidRPr="000119B7">
        <w:rPr>
          <w:b/>
        </w:rPr>
        <w:t>henselae</w:t>
      </w:r>
      <w:proofErr w:type="spellEnd"/>
    </w:p>
    <w:p w:rsidR="00EF2310" w:rsidRPr="000119B7" w:rsidRDefault="00EF2310" w:rsidP="00F133E0">
      <w:pPr>
        <w:pStyle w:val="NoSpacing"/>
        <w:rPr>
          <w:i/>
          <w:iCs/>
          <w:lang w:bidi="he-IL"/>
        </w:rPr>
      </w:pPr>
    </w:p>
    <w:p w:rsidR="000119B7" w:rsidRPr="000119B7" w:rsidRDefault="000119B7" w:rsidP="000119B7">
      <w:pPr>
        <w:pStyle w:val="NoSpacing"/>
        <w:rPr>
          <w:color w:val="000000"/>
        </w:rPr>
      </w:pPr>
      <w:proofErr w:type="spellStart"/>
      <w:r w:rsidRPr="000119B7">
        <w:t>Facultatively</w:t>
      </w:r>
      <w:proofErr w:type="spellEnd"/>
      <w:r w:rsidRPr="000119B7">
        <w:t xml:space="preserve"> intracellular gram-negative bacteria of the genus </w:t>
      </w:r>
      <w:proofErr w:type="spellStart"/>
      <w:r w:rsidRPr="000119B7">
        <w:rPr>
          <w:i/>
          <w:iCs/>
          <w:lang w:bidi="he-IL"/>
        </w:rPr>
        <w:t>Bartonella</w:t>
      </w:r>
      <w:proofErr w:type="spellEnd"/>
      <w:r w:rsidRPr="000119B7">
        <w:rPr>
          <w:i/>
          <w:iCs/>
          <w:lang w:bidi="he-IL"/>
        </w:rPr>
        <w:t xml:space="preserve"> </w:t>
      </w:r>
      <w:r w:rsidRPr="000119B7">
        <w:t>cause vector-borne diseases termed</w:t>
      </w:r>
      <w:r w:rsidRPr="000119B7">
        <w:t xml:space="preserve"> </w:t>
      </w:r>
      <w:proofErr w:type="spellStart"/>
      <w:r w:rsidRPr="000119B7">
        <w:t>B</w:t>
      </w:r>
      <w:r w:rsidRPr="000119B7">
        <w:rPr>
          <w:color w:val="000000"/>
        </w:rPr>
        <w:t>artonellosis</w:t>
      </w:r>
      <w:proofErr w:type="spellEnd"/>
      <w:r w:rsidRPr="000119B7">
        <w:rPr>
          <w:color w:val="000000"/>
        </w:rPr>
        <w:t xml:space="preserve"> (</w:t>
      </w:r>
      <w:proofErr w:type="spellStart"/>
      <w:r w:rsidRPr="000119B7">
        <w:rPr>
          <w:color w:val="F04200"/>
        </w:rPr>
        <w:t>Dehio</w:t>
      </w:r>
      <w:proofErr w:type="spellEnd"/>
      <w:r w:rsidRPr="000119B7">
        <w:rPr>
          <w:color w:val="F04200"/>
        </w:rPr>
        <w:t>, 2004</w:t>
      </w:r>
      <w:r w:rsidRPr="000119B7">
        <w:rPr>
          <w:color w:val="000000"/>
        </w:rPr>
        <w:t xml:space="preserve">). The transmitting vectors for the disease are </w:t>
      </w:r>
      <w:proofErr w:type="spellStart"/>
      <w:r w:rsidRPr="000119B7">
        <w:rPr>
          <w:color w:val="000000"/>
        </w:rPr>
        <w:t>hematophagous</w:t>
      </w:r>
      <w:proofErr w:type="spellEnd"/>
      <w:r w:rsidRPr="000119B7">
        <w:rPr>
          <w:color w:val="000000"/>
        </w:rPr>
        <w:t xml:space="preserve"> (blood-sucking)</w:t>
      </w:r>
      <w:r w:rsidRPr="000119B7">
        <w:rPr>
          <w:color w:val="000000"/>
        </w:rPr>
        <w:t xml:space="preserve"> </w:t>
      </w:r>
      <w:r w:rsidRPr="000119B7">
        <w:rPr>
          <w:color w:val="000000"/>
        </w:rPr>
        <w:t xml:space="preserve">arthropods and the reservoir hosts are mammals. </w:t>
      </w:r>
      <w:proofErr w:type="spellStart"/>
      <w:r w:rsidRPr="000119B7">
        <w:rPr>
          <w:i/>
          <w:iCs/>
          <w:color w:val="000000"/>
          <w:lang w:bidi="he-IL"/>
        </w:rPr>
        <w:t>Bartonella</w:t>
      </w:r>
      <w:proofErr w:type="spellEnd"/>
      <w:r w:rsidRPr="000119B7">
        <w:rPr>
          <w:i/>
          <w:iCs/>
          <w:color w:val="000000"/>
          <w:lang w:bidi="he-IL"/>
        </w:rPr>
        <w:t xml:space="preserve"> </w:t>
      </w:r>
      <w:proofErr w:type="spellStart"/>
      <w:r w:rsidRPr="000119B7">
        <w:rPr>
          <w:i/>
          <w:iCs/>
          <w:color w:val="000000"/>
          <w:lang w:bidi="he-IL"/>
        </w:rPr>
        <w:t>henselae</w:t>
      </w:r>
      <w:proofErr w:type="spellEnd"/>
      <w:r w:rsidRPr="000119B7">
        <w:rPr>
          <w:i/>
          <w:iCs/>
          <w:color w:val="000000"/>
          <w:lang w:bidi="he-IL"/>
        </w:rPr>
        <w:t xml:space="preserve">, </w:t>
      </w:r>
      <w:r w:rsidRPr="000119B7">
        <w:rPr>
          <w:color w:val="000000"/>
        </w:rPr>
        <w:t xml:space="preserve">formerly known as </w:t>
      </w:r>
      <w:proofErr w:type="spellStart"/>
      <w:r w:rsidRPr="000119B7">
        <w:rPr>
          <w:i/>
          <w:iCs/>
          <w:color w:val="000000"/>
          <w:lang w:bidi="he-IL"/>
        </w:rPr>
        <w:t>Rochalimaea</w:t>
      </w:r>
      <w:proofErr w:type="spellEnd"/>
      <w:r w:rsidRPr="000119B7">
        <w:rPr>
          <w:i/>
          <w:iCs/>
          <w:color w:val="000000"/>
          <w:lang w:bidi="he-IL"/>
        </w:rPr>
        <w:t xml:space="preserve"> </w:t>
      </w:r>
      <w:proofErr w:type="spellStart"/>
      <w:r w:rsidRPr="000119B7">
        <w:rPr>
          <w:i/>
          <w:iCs/>
          <w:color w:val="000000"/>
          <w:lang w:bidi="he-IL"/>
        </w:rPr>
        <w:t>henselae</w:t>
      </w:r>
      <w:proofErr w:type="spellEnd"/>
      <w:r w:rsidRPr="000119B7">
        <w:rPr>
          <w:i/>
          <w:iCs/>
          <w:color w:val="000000"/>
          <w:lang w:bidi="he-IL"/>
        </w:rPr>
        <w:t xml:space="preserve">, </w:t>
      </w:r>
      <w:r w:rsidRPr="000119B7">
        <w:rPr>
          <w:color w:val="000000"/>
        </w:rPr>
        <w:t>is an aerobic fastidious intracellular rod-shaped bacterium. As a feline-adapted pathogen, it colonizes</w:t>
      </w:r>
      <w:r w:rsidRPr="000119B7">
        <w:rPr>
          <w:color w:val="000000"/>
        </w:rPr>
        <w:t xml:space="preserve"> </w:t>
      </w:r>
      <w:r w:rsidRPr="000119B7">
        <w:rPr>
          <w:color w:val="000000"/>
        </w:rPr>
        <w:t xml:space="preserve">endothelial cells immediately after infection. After being released in the blood stream, </w:t>
      </w:r>
      <w:proofErr w:type="spellStart"/>
      <w:r w:rsidRPr="000119B7">
        <w:rPr>
          <w:i/>
          <w:iCs/>
          <w:color w:val="000000"/>
          <w:lang w:bidi="he-IL"/>
        </w:rPr>
        <w:t>Bartonella</w:t>
      </w:r>
      <w:proofErr w:type="spellEnd"/>
      <w:r w:rsidRPr="000119B7">
        <w:rPr>
          <w:i/>
          <w:iCs/>
          <w:color w:val="000000"/>
          <w:lang w:bidi="he-IL"/>
        </w:rPr>
        <w:t xml:space="preserve"> </w:t>
      </w:r>
      <w:r w:rsidRPr="000119B7">
        <w:rPr>
          <w:color w:val="000000"/>
        </w:rPr>
        <w:t>bacteria infect</w:t>
      </w:r>
      <w:r w:rsidRPr="000119B7">
        <w:rPr>
          <w:color w:val="000000"/>
        </w:rPr>
        <w:t xml:space="preserve"> </w:t>
      </w:r>
      <w:r w:rsidRPr="000119B7">
        <w:rPr>
          <w:color w:val="000000"/>
        </w:rPr>
        <w:t xml:space="preserve">erythrocytes and replicate within a </w:t>
      </w:r>
      <w:proofErr w:type="spellStart"/>
      <w:r w:rsidRPr="000119B7">
        <w:rPr>
          <w:color w:val="000000"/>
        </w:rPr>
        <w:t>phagosomal</w:t>
      </w:r>
      <w:proofErr w:type="spellEnd"/>
      <w:r w:rsidRPr="000119B7">
        <w:rPr>
          <w:color w:val="000000"/>
        </w:rPr>
        <w:t xml:space="preserve"> vesicle inside erythrocytes. The bacterium is transmitted to</w:t>
      </w:r>
      <w:r w:rsidRPr="000119B7">
        <w:rPr>
          <w:color w:val="000000"/>
        </w:rPr>
        <w:t xml:space="preserve"> </w:t>
      </w:r>
      <w:r w:rsidRPr="000119B7">
        <w:rPr>
          <w:color w:val="000000"/>
        </w:rPr>
        <w:t xml:space="preserve">another host when the host is bitten by a flea or tick. The cat flea, </w:t>
      </w:r>
      <w:proofErr w:type="spellStart"/>
      <w:r w:rsidRPr="000119B7">
        <w:rPr>
          <w:i/>
          <w:iCs/>
          <w:color w:val="000000"/>
          <w:lang w:bidi="he-IL"/>
        </w:rPr>
        <w:t>Ctenocephalides</w:t>
      </w:r>
      <w:proofErr w:type="spellEnd"/>
      <w:r w:rsidRPr="000119B7">
        <w:rPr>
          <w:i/>
          <w:iCs/>
          <w:color w:val="000000"/>
          <w:lang w:bidi="he-IL"/>
        </w:rPr>
        <w:t xml:space="preserve"> </w:t>
      </w:r>
      <w:proofErr w:type="spellStart"/>
      <w:r w:rsidRPr="000119B7">
        <w:rPr>
          <w:i/>
          <w:iCs/>
          <w:color w:val="000000"/>
          <w:lang w:bidi="he-IL"/>
        </w:rPr>
        <w:t>felis</w:t>
      </w:r>
      <w:proofErr w:type="spellEnd"/>
      <w:r w:rsidRPr="000119B7">
        <w:rPr>
          <w:color w:val="000000"/>
        </w:rPr>
        <w:t>, is the primary vector</w:t>
      </w:r>
      <w:r w:rsidRPr="000119B7">
        <w:rPr>
          <w:color w:val="000000"/>
        </w:rPr>
        <w:t xml:space="preserve"> </w:t>
      </w:r>
      <w:r w:rsidRPr="000119B7">
        <w:rPr>
          <w:color w:val="000000"/>
        </w:rPr>
        <w:t xml:space="preserve">of </w:t>
      </w:r>
      <w:proofErr w:type="spellStart"/>
      <w:r w:rsidRPr="000119B7">
        <w:rPr>
          <w:i/>
          <w:iCs/>
          <w:color w:val="000000"/>
          <w:lang w:bidi="he-IL"/>
        </w:rPr>
        <w:t>Bartonella</w:t>
      </w:r>
      <w:proofErr w:type="spellEnd"/>
      <w:r w:rsidRPr="000119B7">
        <w:rPr>
          <w:i/>
          <w:iCs/>
          <w:color w:val="000000"/>
          <w:lang w:bidi="he-IL"/>
        </w:rPr>
        <w:t xml:space="preserve"> </w:t>
      </w:r>
      <w:proofErr w:type="spellStart"/>
      <w:r w:rsidRPr="000119B7">
        <w:rPr>
          <w:i/>
          <w:iCs/>
          <w:color w:val="000000"/>
          <w:lang w:bidi="he-IL"/>
        </w:rPr>
        <w:t>henselae</w:t>
      </w:r>
      <w:proofErr w:type="spellEnd"/>
      <w:r w:rsidRPr="000119B7">
        <w:rPr>
          <w:color w:val="000000"/>
        </w:rPr>
        <w:t>.</w:t>
      </w:r>
    </w:p>
    <w:p w:rsidR="000119B7" w:rsidRPr="000119B7" w:rsidRDefault="000119B7" w:rsidP="000119B7">
      <w:pPr>
        <w:pStyle w:val="NoSpacing"/>
        <w:rPr>
          <w:rFonts w:cs="Arial"/>
          <w:color w:val="000000"/>
        </w:rPr>
      </w:pPr>
    </w:p>
    <w:p w:rsidR="00EF2310" w:rsidRPr="000119B7" w:rsidRDefault="00EF2310" w:rsidP="000119B7">
      <w:pPr>
        <w:pStyle w:val="NoSpacing"/>
        <w:rPr>
          <w:b/>
        </w:rPr>
      </w:pPr>
      <w:r w:rsidRPr="000119B7">
        <w:rPr>
          <w:b/>
        </w:rPr>
        <w:t>Clinical Signs</w:t>
      </w:r>
    </w:p>
    <w:p w:rsidR="00EF2310" w:rsidRPr="000119B7" w:rsidRDefault="00EF2310" w:rsidP="00F133E0">
      <w:pPr>
        <w:pStyle w:val="NoSpacing"/>
      </w:pPr>
    </w:p>
    <w:p w:rsidR="00EF2310" w:rsidRPr="000119B7" w:rsidRDefault="000119B7" w:rsidP="000119B7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proofErr w:type="spellStart"/>
      <w:r w:rsidRPr="000119B7">
        <w:rPr>
          <w:rFonts w:cs="Arial"/>
          <w:i/>
          <w:iCs/>
          <w:lang w:bidi="he-IL"/>
        </w:rPr>
        <w:t>Bartonella</w:t>
      </w:r>
      <w:proofErr w:type="spellEnd"/>
      <w:r w:rsidRPr="000119B7">
        <w:rPr>
          <w:rFonts w:cs="Arial"/>
          <w:i/>
          <w:iCs/>
          <w:lang w:bidi="he-IL"/>
        </w:rPr>
        <w:t xml:space="preserve"> </w:t>
      </w:r>
      <w:proofErr w:type="spellStart"/>
      <w:r w:rsidRPr="000119B7">
        <w:rPr>
          <w:rFonts w:cs="Arial"/>
          <w:i/>
          <w:iCs/>
          <w:lang w:bidi="he-IL"/>
        </w:rPr>
        <w:t>henselae</w:t>
      </w:r>
      <w:proofErr w:type="spellEnd"/>
      <w:r w:rsidRPr="000119B7">
        <w:rPr>
          <w:rFonts w:cs="Arial"/>
          <w:i/>
          <w:iCs/>
          <w:lang w:bidi="he-IL"/>
        </w:rPr>
        <w:t xml:space="preserve"> </w:t>
      </w:r>
      <w:r w:rsidRPr="000119B7">
        <w:rPr>
          <w:rFonts w:cs="Arial"/>
        </w:rPr>
        <w:t>disease is frequently subclinical; many cats are asymptomatic carriers for long periods of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>time. It has been reported that 30-60% of cats in the United States may be asymptomatically infected at some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 xml:space="preserve">time in their lives. In some cats, however, it does cause bacillary </w:t>
      </w:r>
      <w:proofErr w:type="spellStart"/>
      <w:r w:rsidRPr="000119B7">
        <w:rPr>
          <w:rFonts w:cs="Arial"/>
        </w:rPr>
        <w:t>angiomatosis</w:t>
      </w:r>
      <w:proofErr w:type="spellEnd"/>
      <w:r w:rsidRPr="000119B7">
        <w:rPr>
          <w:rFonts w:cs="Arial"/>
        </w:rPr>
        <w:t xml:space="preserve"> (BA), visceral bacillary </w:t>
      </w:r>
      <w:proofErr w:type="spellStart"/>
      <w:r w:rsidRPr="000119B7">
        <w:rPr>
          <w:rFonts w:cs="Arial"/>
        </w:rPr>
        <w:t>peliosis</w:t>
      </w:r>
      <w:proofErr w:type="spellEnd"/>
      <w:r w:rsidRPr="000119B7">
        <w:rPr>
          <w:rFonts w:cs="Arial"/>
        </w:rPr>
        <w:t>,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 xml:space="preserve">endocarditis, lymphadenopathy, neurologic dysfunction and retinal disease. The clinical signs include </w:t>
      </w:r>
      <w:r w:rsidRPr="000119B7">
        <w:rPr>
          <w:rFonts w:cs="Arial"/>
        </w:rPr>
        <w:t xml:space="preserve">short-term </w:t>
      </w:r>
      <w:r w:rsidRPr="000119B7">
        <w:rPr>
          <w:rFonts w:cs="Arial"/>
        </w:rPr>
        <w:t>fever, mild loss of sensation in their paws, lack of balance and disorientation but they often resolve in a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>week. Kittens (&lt; 6 months) are more likely to be infected and to pass it to human than adult cats. Humans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>may develop a lymphadenopathy after scratch or bite from an infected cat (cat scratch disease, CSD). To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>prevent CSD, cat owners need to avoid cat bites/scratches, keep cats indoors, and use flea control. Infected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 xml:space="preserve">cats can be effectively treated with antibiotics such as doxycycline or </w:t>
      </w:r>
      <w:proofErr w:type="spellStart"/>
      <w:r w:rsidRPr="000119B7">
        <w:rPr>
          <w:rFonts w:cs="Arial"/>
        </w:rPr>
        <w:t>enrofloxacin</w:t>
      </w:r>
      <w:proofErr w:type="spellEnd"/>
      <w:r w:rsidRPr="000119B7">
        <w:rPr>
          <w:rFonts w:cs="Arial"/>
        </w:rPr>
        <w:t>.</w:t>
      </w:r>
    </w:p>
    <w:p w:rsidR="00EF2310" w:rsidRPr="000119B7" w:rsidRDefault="00EF2310" w:rsidP="00F133E0">
      <w:pPr>
        <w:pStyle w:val="NoSpacing"/>
        <w:rPr>
          <w:rFonts w:cs="Arial"/>
        </w:rPr>
      </w:pPr>
      <w:bookmarkStart w:id="0" w:name="_GoBack"/>
      <w:bookmarkEnd w:id="0"/>
    </w:p>
    <w:p w:rsidR="00EF2310" w:rsidRPr="000119B7" w:rsidRDefault="00F133E0" w:rsidP="00F133E0">
      <w:pPr>
        <w:pStyle w:val="NoSpacing"/>
        <w:rPr>
          <w:rFonts w:cs="Arial"/>
          <w:b/>
        </w:rPr>
      </w:pPr>
      <w:r w:rsidRPr="000119B7">
        <w:rPr>
          <w:rFonts w:cs="Arial"/>
          <w:b/>
        </w:rPr>
        <w:t>Standard Diagnostic Methods</w:t>
      </w:r>
    </w:p>
    <w:p w:rsidR="00EF2310" w:rsidRPr="000119B7" w:rsidRDefault="00EF2310" w:rsidP="00F133E0">
      <w:pPr>
        <w:pStyle w:val="NoSpacing"/>
        <w:rPr>
          <w:rFonts w:cs="Arial"/>
        </w:rPr>
      </w:pPr>
    </w:p>
    <w:p w:rsidR="00F133E0" w:rsidRPr="000119B7" w:rsidRDefault="000119B7" w:rsidP="000119B7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0119B7">
        <w:rPr>
          <w:rFonts w:cs="Arial"/>
          <w:color w:val="000000"/>
        </w:rPr>
        <w:t>Traditional diagnosis relies on cumbersome cell culture methods, or more recently on PCR (</w:t>
      </w:r>
      <w:proofErr w:type="spellStart"/>
      <w:r w:rsidRPr="000119B7">
        <w:rPr>
          <w:rFonts w:cs="Arial"/>
          <w:color w:val="F04200"/>
        </w:rPr>
        <w:t>Ciervo</w:t>
      </w:r>
      <w:proofErr w:type="spellEnd"/>
      <w:r w:rsidRPr="000119B7">
        <w:rPr>
          <w:rFonts w:cs="Arial"/>
          <w:color w:val="F04200"/>
        </w:rPr>
        <w:t xml:space="preserve"> et al</w:t>
      </w:r>
      <w:r w:rsidRPr="000119B7">
        <w:rPr>
          <w:rFonts w:cs="Arial"/>
          <w:color w:val="F04200"/>
        </w:rPr>
        <w:t xml:space="preserve">., </w:t>
      </w:r>
      <w:r w:rsidRPr="000119B7">
        <w:rPr>
          <w:rFonts w:cs="Arial"/>
          <w:color w:val="F04200"/>
        </w:rPr>
        <w:t>2005</w:t>
      </w:r>
      <w:r w:rsidRPr="000119B7">
        <w:rPr>
          <w:rFonts w:cs="Arial"/>
          <w:color w:val="000000"/>
        </w:rPr>
        <w:t xml:space="preserve">). </w:t>
      </w:r>
      <w:proofErr w:type="spellStart"/>
      <w:r w:rsidRPr="000119B7">
        <w:rPr>
          <w:rFonts w:cs="Arial"/>
          <w:color w:val="000000"/>
        </w:rPr>
        <w:t>Seroreactivity</w:t>
      </w:r>
      <w:proofErr w:type="spellEnd"/>
      <w:r w:rsidRPr="000119B7">
        <w:rPr>
          <w:rFonts w:cs="Arial"/>
          <w:color w:val="000000"/>
        </w:rPr>
        <w:t xml:space="preserve"> and bacteremia are frequently detected in cats with a history of flea infestation. Many</w:t>
      </w:r>
      <w:r w:rsidRPr="000119B7">
        <w:rPr>
          <w:rFonts w:cs="Arial"/>
          <w:color w:val="000000"/>
        </w:rPr>
        <w:t xml:space="preserve"> </w:t>
      </w:r>
      <w:r w:rsidRPr="000119B7">
        <w:rPr>
          <w:rFonts w:cs="Arial"/>
          <w:color w:val="000000"/>
        </w:rPr>
        <w:t xml:space="preserve">genes have been used as a target for PCR detection of 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Bartonella</w:t>
      </w:r>
      <w:proofErr w:type="spellEnd"/>
      <w:r w:rsidRPr="000119B7">
        <w:rPr>
          <w:rFonts w:cs="Arial"/>
          <w:i/>
          <w:iCs/>
          <w:color w:val="000000"/>
          <w:lang w:bidi="he-IL"/>
        </w:rPr>
        <w:t xml:space="preserve"> 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henselae</w:t>
      </w:r>
      <w:proofErr w:type="spellEnd"/>
      <w:r w:rsidRPr="000119B7">
        <w:rPr>
          <w:rFonts w:cs="Arial"/>
          <w:color w:val="000000"/>
        </w:rPr>
        <w:t xml:space="preserve">, such as the 16S/23S </w:t>
      </w:r>
      <w:proofErr w:type="spellStart"/>
      <w:r w:rsidRPr="000119B7">
        <w:rPr>
          <w:rFonts w:cs="Arial"/>
          <w:color w:val="000000"/>
        </w:rPr>
        <w:t>rRNA</w:t>
      </w:r>
      <w:proofErr w:type="spellEnd"/>
      <w:r w:rsidRPr="000119B7">
        <w:rPr>
          <w:rFonts w:cs="Arial"/>
          <w:color w:val="000000"/>
        </w:rPr>
        <w:t xml:space="preserve"> </w:t>
      </w:r>
      <w:proofErr w:type="spellStart"/>
      <w:r w:rsidRPr="000119B7">
        <w:rPr>
          <w:rFonts w:cs="Arial"/>
          <w:color w:val="000000"/>
        </w:rPr>
        <w:t>intergenic</w:t>
      </w:r>
      <w:proofErr w:type="spellEnd"/>
      <w:r w:rsidRPr="000119B7">
        <w:rPr>
          <w:rFonts w:cs="Arial"/>
          <w:color w:val="000000"/>
        </w:rPr>
        <w:t xml:space="preserve"> spacer region, or the heat shock protein (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gro</w:t>
      </w:r>
      <w:r w:rsidRPr="000119B7">
        <w:rPr>
          <w:rFonts w:cs="Arial"/>
          <w:color w:val="000000"/>
        </w:rPr>
        <w:t>EL</w:t>
      </w:r>
      <w:proofErr w:type="spellEnd"/>
      <w:r w:rsidRPr="000119B7">
        <w:rPr>
          <w:rFonts w:cs="Arial"/>
          <w:color w:val="000000"/>
        </w:rPr>
        <w:t>), citrate synthase (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glt</w:t>
      </w:r>
      <w:r w:rsidRPr="000119B7">
        <w:rPr>
          <w:rFonts w:cs="Arial"/>
          <w:color w:val="000000"/>
        </w:rPr>
        <w:t>A</w:t>
      </w:r>
      <w:proofErr w:type="spellEnd"/>
      <w:r w:rsidRPr="000119B7">
        <w:rPr>
          <w:rFonts w:cs="Arial"/>
          <w:color w:val="000000"/>
        </w:rPr>
        <w:t>), riboflavin synthase a-chain</w:t>
      </w:r>
      <w:r w:rsidRPr="000119B7">
        <w:rPr>
          <w:rFonts w:cs="Arial"/>
          <w:color w:val="000000"/>
        </w:rPr>
        <w:t xml:space="preserve"> </w:t>
      </w:r>
      <w:r w:rsidRPr="000119B7">
        <w:rPr>
          <w:rFonts w:cs="Arial"/>
          <w:color w:val="000000"/>
        </w:rPr>
        <w:t>(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rib</w:t>
      </w:r>
      <w:r w:rsidRPr="000119B7">
        <w:rPr>
          <w:rFonts w:cs="Arial"/>
          <w:color w:val="000000"/>
        </w:rPr>
        <w:t>C</w:t>
      </w:r>
      <w:proofErr w:type="spellEnd"/>
      <w:r w:rsidRPr="000119B7">
        <w:rPr>
          <w:rFonts w:cs="Arial"/>
          <w:color w:val="000000"/>
        </w:rPr>
        <w:t>), cell division protein (</w:t>
      </w:r>
      <w:proofErr w:type="spellStart"/>
      <w:r w:rsidRPr="000119B7">
        <w:rPr>
          <w:rFonts w:cs="Arial"/>
          <w:i/>
          <w:iCs/>
          <w:color w:val="000000"/>
          <w:lang w:bidi="he-IL"/>
        </w:rPr>
        <w:t>fts</w:t>
      </w:r>
      <w:r w:rsidRPr="000119B7">
        <w:rPr>
          <w:rFonts w:cs="Arial"/>
          <w:color w:val="000000"/>
        </w:rPr>
        <w:t>Z</w:t>
      </w:r>
      <w:proofErr w:type="spellEnd"/>
      <w:r w:rsidRPr="000119B7">
        <w:rPr>
          <w:rFonts w:cs="Arial"/>
          <w:color w:val="000000"/>
        </w:rPr>
        <w:t xml:space="preserve">) and the </w:t>
      </w:r>
      <w:r w:rsidRPr="000119B7">
        <w:rPr>
          <w:rFonts w:cs="Arial"/>
          <w:i/>
          <w:iCs/>
          <w:color w:val="000000"/>
          <w:lang w:bidi="he-IL"/>
        </w:rPr>
        <w:t>pap</w:t>
      </w:r>
      <w:r w:rsidRPr="000119B7">
        <w:rPr>
          <w:rFonts w:cs="Arial"/>
          <w:color w:val="000000"/>
        </w:rPr>
        <w:t>31 extracellular matrix adhesion protein gene.</w:t>
      </w:r>
    </w:p>
    <w:p w:rsidR="000119B7" w:rsidRPr="000119B7" w:rsidRDefault="000119B7" w:rsidP="00F133E0">
      <w:pPr>
        <w:pStyle w:val="NoSpacing"/>
        <w:rPr>
          <w:rFonts w:cs="Arial"/>
          <w:b/>
        </w:rPr>
      </w:pPr>
    </w:p>
    <w:p w:rsidR="00EF2310" w:rsidRPr="000119B7" w:rsidRDefault="00EF2310" w:rsidP="00F133E0">
      <w:pPr>
        <w:pStyle w:val="NoSpacing"/>
        <w:rPr>
          <w:rFonts w:cs="Arial"/>
          <w:b/>
        </w:rPr>
      </w:pPr>
      <w:r w:rsidRPr="000119B7">
        <w:rPr>
          <w:rFonts w:cs="Arial"/>
          <w:b/>
        </w:rPr>
        <w:t>Our Method</w:t>
      </w:r>
    </w:p>
    <w:p w:rsidR="00EF2310" w:rsidRPr="000119B7" w:rsidRDefault="00EF2310" w:rsidP="00F133E0">
      <w:pPr>
        <w:pStyle w:val="NoSpacing"/>
        <w:rPr>
          <w:rFonts w:cs="Arial"/>
        </w:rPr>
      </w:pPr>
    </w:p>
    <w:p w:rsidR="00EF2310" w:rsidRPr="000119B7" w:rsidRDefault="000119B7" w:rsidP="000119B7">
      <w:pPr>
        <w:autoSpaceDE w:val="0"/>
        <w:autoSpaceDN w:val="0"/>
        <w:adjustRightInd w:val="0"/>
        <w:spacing w:after="0" w:line="240" w:lineRule="auto"/>
      </w:pPr>
      <w:r w:rsidRPr="000119B7">
        <w:rPr>
          <w:rFonts w:cs="Arial"/>
        </w:rPr>
        <w:t xml:space="preserve">The quantitative PCR approach we have developed uses the highly conserved 16S </w:t>
      </w:r>
      <w:proofErr w:type="spellStart"/>
      <w:r w:rsidRPr="000119B7">
        <w:rPr>
          <w:rFonts w:cs="Arial"/>
        </w:rPr>
        <w:t>rRNA</w:t>
      </w:r>
      <w:proofErr w:type="spellEnd"/>
      <w:r w:rsidRPr="000119B7">
        <w:rPr>
          <w:rFonts w:cs="Arial"/>
        </w:rPr>
        <w:t xml:space="preserve"> gene of </w:t>
      </w:r>
      <w:proofErr w:type="spellStart"/>
      <w:r w:rsidRPr="000119B7">
        <w:rPr>
          <w:rFonts w:cs="Arial"/>
          <w:i/>
          <w:iCs/>
          <w:lang w:bidi="he-IL"/>
        </w:rPr>
        <w:t>Bartonella</w:t>
      </w:r>
      <w:proofErr w:type="spellEnd"/>
      <w:r w:rsidRPr="000119B7">
        <w:rPr>
          <w:rFonts w:cs="Arial"/>
          <w:i/>
          <w:iCs/>
          <w:lang w:bidi="he-IL"/>
        </w:rPr>
        <w:t xml:space="preserve"> </w:t>
      </w:r>
      <w:proofErr w:type="spellStart"/>
      <w:r w:rsidRPr="000119B7">
        <w:rPr>
          <w:rFonts w:cs="Arial"/>
          <w:i/>
          <w:iCs/>
          <w:lang w:bidi="he-IL"/>
        </w:rPr>
        <w:t>henselae</w:t>
      </w:r>
      <w:proofErr w:type="spellEnd"/>
      <w:r w:rsidRPr="000119B7">
        <w:rPr>
          <w:rFonts w:cs="Arial"/>
          <w:i/>
          <w:iCs/>
          <w:lang w:bidi="he-IL"/>
        </w:rPr>
        <w:t xml:space="preserve"> </w:t>
      </w:r>
      <w:r w:rsidRPr="000119B7">
        <w:rPr>
          <w:rFonts w:cs="Arial"/>
        </w:rPr>
        <w:t>as the amplification target, and detects single copies of the bacterial genome present in the sample</w:t>
      </w:r>
      <w:r w:rsidRPr="000119B7">
        <w:rPr>
          <w:rFonts w:cs="Arial"/>
        </w:rPr>
        <w:t xml:space="preserve"> </w:t>
      </w:r>
      <w:r w:rsidRPr="000119B7">
        <w:rPr>
          <w:rFonts w:cs="Arial"/>
        </w:rPr>
        <w:t>input to the PCR.</w:t>
      </w:r>
    </w:p>
    <w:sectPr w:rsidR="00EF2310" w:rsidRPr="000119B7" w:rsidSect="00F133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10"/>
    <w:rsid w:val="000119B7"/>
    <w:rsid w:val="00A01C72"/>
    <w:rsid w:val="00EF2310"/>
    <w:rsid w:val="00F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85C7D-1A60-4CD5-9679-6B4CC754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F2310"/>
  </w:style>
  <w:style w:type="table" w:styleId="TableGrid">
    <w:name w:val="Table Grid"/>
    <w:basedOn w:val="TableNormal"/>
    <w:uiPriority w:val="39"/>
    <w:rsid w:val="00EF2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2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2</cp:revision>
  <dcterms:created xsi:type="dcterms:W3CDTF">2014-10-30T13:37:00Z</dcterms:created>
  <dcterms:modified xsi:type="dcterms:W3CDTF">2014-10-30T13:37:00Z</dcterms:modified>
</cp:coreProperties>
</file>