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3E0" w:rsidRPr="000119B7" w:rsidRDefault="00F133E0" w:rsidP="00F133E0">
      <w:pPr>
        <w:pStyle w:val="NoSpacing"/>
        <w:jc w:val="center"/>
        <w:rPr>
          <w:b/>
        </w:rPr>
      </w:pPr>
    </w:p>
    <w:p w:rsidR="00A01C72" w:rsidRPr="000119B7" w:rsidRDefault="00052D5D" w:rsidP="00F133E0">
      <w:pPr>
        <w:pStyle w:val="NoSpacing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Canine Distemper Virus</w:t>
      </w:r>
    </w:p>
    <w:p w:rsidR="00EF2310" w:rsidRPr="000119B7" w:rsidRDefault="00EF2310" w:rsidP="00F133E0">
      <w:pPr>
        <w:pStyle w:val="NoSpacing"/>
        <w:rPr>
          <w:rFonts w:cs="Times New Roman"/>
        </w:rPr>
      </w:pPr>
    </w:p>
    <w:p w:rsidR="00EF2310" w:rsidRPr="000119B7" w:rsidRDefault="00052D5D" w:rsidP="000119B7">
      <w:pPr>
        <w:pStyle w:val="NoSpacing"/>
      </w:pPr>
      <w:r>
        <w:t xml:space="preserve">Color-enhanced electron micrograph of a </w:t>
      </w:r>
      <w:proofErr w:type="spellStart"/>
      <w:r>
        <w:t>paramyxovirus</w:t>
      </w:r>
      <w:proofErr w:type="spellEnd"/>
      <w:r>
        <w:t xml:space="preserve">.  </w:t>
      </w:r>
      <w:proofErr w:type="spellStart"/>
      <w:r>
        <w:t>Paramyxoviridae</w:t>
      </w:r>
      <w:proofErr w:type="spellEnd"/>
      <w:r>
        <w:t xml:space="preserve"> such as canine distemper virus are enveloped RNA viruses similar as equine </w:t>
      </w:r>
      <w:proofErr w:type="spellStart"/>
      <w:r>
        <w:t>Nipahvirus</w:t>
      </w:r>
      <w:proofErr w:type="spellEnd"/>
      <w:r>
        <w:t xml:space="preserve"> shown here.</w:t>
      </w:r>
    </w:p>
    <w:p w:rsidR="000119B7" w:rsidRPr="000119B7" w:rsidRDefault="000119B7" w:rsidP="00F133E0">
      <w:pPr>
        <w:pStyle w:val="NoSpacing"/>
        <w:rPr>
          <w:rFonts w:cs="Times New Roman"/>
        </w:rPr>
      </w:pPr>
    </w:p>
    <w:p w:rsidR="00EF2310" w:rsidRPr="000119B7" w:rsidRDefault="00EF2310" w:rsidP="00F133E0">
      <w:pPr>
        <w:pStyle w:val="NoSpacing"/>
      </w:pPr>
      <w:r w:rsidRPr="000119B7">
        <w:rPr>
          <w:rFonts w:cs="Times New Roman"/>
        </w:rPr>
        <w:t>Samples: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5"/>
        <w:gridCol w:w="6205"/>
      </w:tblGrid>
      <w:tr w:rsidR="00EF2310" w:rsidRPr="000119B7" w:rsidTr="00EF2310">
        <w:tc>
          <w:tcPr>
            <w:tcW w:w="3145" w:type="dxa"/>
          </w:tcPr>
          <w:p w:rsidR="00EF2310" w:rsidRPr="000119B7" w:rsidRDefault="00EF2310" w:rsidP="00F133E0">
            <w:pPr>
              <w:pStyle w:val="NoSpacing"/>
            </w:pPr>
            <w:r w:rsidRPr="000119B7">
              <w:t>Blood</w:t>
            </w:r>
          </w:p>
        </w:tc>
        <w:tc>
          <w:tcPr>
            <w:tcW w:w="6205" w:type="dxa"/>
          </w:tcPr>
          <w:p w:rsidR="00EF2310" w:rsidRPr="000119B7" w:rsidRDefault="00EF2310" w:rsidP="00F133E0">
            <w:pPr>
              <w:pStyle w:val="NoSpacing"/>
            </w:pPr>
            <w:r w:rsidRPr="000119B7">
              <w:t>EDTA-blood as is, purple-top tubes or</w:t>
            </w:r>
          </w:p>
          <w:p w:rsidR="00EF2310" w:rsidRPr="000119B7" w:rsidRDefault="00EF2310" w:rsidP="00F133E0">
            <w:pPr>
              <w:pStyle w:val="NoSpacing"/>
            </w:pPr>
            <w:r w:rsidRPr="000119B7">
              <w:t>EDTA-blood preserved in sample buffer (preferred)</w:t>
            </w:r>
          </w:p>
        </w:tc>
      </w:tr>
      <w:tr w:rsidR="00D3482C" w:rsidRPr="000119B7" w:rsidTr="00EF2310">
        <w:tc>
          <w:tcPr>
            <w:tcW w:w="3145" w:type="dxa"/>
          </w:tcPr>
          <w:p w:rsidR="00D3482C" w:rsidRPr="000119B7" w:rsidRDefault="00D3482C" w:rsidP="00F133E0">
            <w:pPr>
              <w:pStyle w:val="NoSpacing"/>
            </w:pPr>
            <w:r>
              <w:t>Body fluids</w:t>
            </w:r>
          </w:p>
        </w:tc>
        <w:tc>
          <w:tcPr>
            <w:tcW w:w="6205" w:type="dxa"/>
          </w:tcPr>
          <w:p w:rsidR="00D3482C" w:rsidRPr="000119B7" w:rsidRDefault="00D3482C" w:rsidP="00F133E0">
            <w:pPr>
              <w:pStyle w:val="NoSpacing"/>
            </w:pPr>
            <w:r>
              <w:t>Preserved in sample buffer</w:t>
            </w:r>
          </w:p>
        </w:tc>
      </w:tr>
      <w:tr w:rsidR="00D3482C" w:rsidRPr="000119B7" w:rsidTr="00EF2310">
        <w:tc>
          <w:tcPr>
            <w:tcW w:w="3145" w:type="dxa"/>
          </w:tcPr>
          <w:p w:rsidR="00D3482C" w:rsidRDefault="00D3482C" w:rsidP="00F133E0">
            <w:pPr>
              <w:pStyle w:val="NoSpacing"/>
            </w:pPr>
            <w:r>
              <w:t>Swab</w:t>
            </w:r>
          </w:p>
        </w:tc>
        <w:tc>
          <w:tcPr>
            <w:tcW w:w="6205" w:type="dxa"/>
          </w:tcPr>
          <w:p w:rsidR="00D3482C" w:rsidRDefault="00D3482C" w:rsidP="00F133E0">
            <w:pPr>
              <w:pStyle w:val="NoSpacing"/>
            </w:pPr>
            <w:r>
              <w:t>Preserved in sample buffer</w:t>
            </w:r>
          </w:p>
        </w:tc>
      </w:tr>
      <w:tr w:rsidR="00EF2310" w:rsidRPr="000119B7" w:rsidTr="000852D5">
        <w:tc>
          <w:tcPr>
            <w:tcW w:w="9350" w:type="dxa"/>
            <w:gridSpan w:val="2"/>
          </w:tcPr>
          <w:p w:rsidR="00EF2310" w:rsidRPr="000119B7" w:rsidRDefault="00EF2310" w:rsidP="00F133E0">
            <w:pPr>
              <w:pStyle w:val="NoSpacing"/>
            </w:pPr>
            <w:r w:rsidRPr="000119B7">
              <w:t>Notes:  Send all samples at room temperature, preferably preserved in sample buffer</w:t>
            </w:r>
          </w:p>
        </w:tc>
      </w:tr>
    </w:tbl>
    <w:p w:rsidR="00EF2310" w:rsidRPr="000119B7" w:rsidRDefault="00EF2310" w:rsidP="00F133E0">
      <w:pPr>
        <w:pStyle w:val="NoSpacing"/>
      </w:pPr>
    </w:p>
    <w:p w:rsidR="00EF2310" w:rsidRPr="000119B7" w:rsidRDefault="00EF2310" w:rsidP="00F133E0">
      <w:pPr>
        <w:pStyle w:val="NoSpacing"/>
      </w:pPr>
      <w:r w:rsidRPr="000119B7">
        <w:t>Interpretation of PCR Results: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F2310" w:rsidRPr="000119B7" w:rsidTr="00EF2310">
        <w:tc>
          <w:tcPr>
            <w:tcW w:w="4675" w:type="dxa"/>
          </w:tcPr>
          <w:p w:rsidR="00EF2310" w:rsidRPr="000119B7" w:rsidRDefault="00EF2310" w:rsidP="000119B7">
            <w:pPr>
              <w:pStyle w:val="NoSpacing"/>
            </w:pPr>
            <w:r w:rsidRPr="000119B7">
              <w:t>High positive</w:t>
            </w:r>
            <w:r w:rsidRPr="000119B7">
              <w:br/>
              <w:t xml:space="preserve">(&gt; </w:t>
            </w:r>
            <w:r w:rsidR="000119B7" w:rsidRPr="000119B7">
              <w:t>1</w:t>
            </w:r>
            <w:r w:rsidR="00D3482C">
              <w:t>0</w:t>
            </w:r>
            <w:r w:rsidR="000119B7" w:rsidRPr="000119B7">
              <w:t>,0</w:t>
            </w:r>
            <w:r w:rsidRPr="000119B7">
              <w:t>00 copies/ml blood)</w:t>
            </w:r>
          </w:p>
        </w:tc>
        <w:tc>
          <w:tcPr>
            <w:tcW w:w="4675" w:type="dxa"/>
            <w:vMerge w:val="restart"/>
          </w:tcPr>
          <w:p w:rsidR="00EF2310" w:rsidRPr="000119B7" w:rsidRDefault="00D3482C" w:rsidP="00F133E0">
            <w:pPr>
              <w:pStyle w:val="NoSpacing"/>
            </w:pPr>
            <w:r>
              <w:t>CDV infection [interpretation must be correlated to clinical symptoms]</w:t>
            </w:r>
          </w:p>
        </w:tc>
      </w:tr>
      <w:tr w:rsidR="00EF2310" w:rsidRPr="000119B7" w:rsidTr="00EF2310">
        <w:tc>
          <w:tcPr>
            <w:tcW w:w="4675" w:type="dxa"/>
          </w:tcPr>
          <w:p w:rsidR="00EF2310" w:rsidRPr="000119B7" w:rsidRDefault="00EF2310" w:rsidP="00F133E0">
            <w:pPr>
              <w:pStyle w:val="NoSpacing"/>
            </w:pPr>
            <w:r w:rsidRPr="000119B7">
              <w:t>Low positive</w:t>
            </w:r>
          </w:p>
          <w:p w:rsidR="00EF2310" w:rsidRPr="000119B7" w:rsidRDefault="00EF2310" w:rsidP="000119B7">
            <w:pPr>
              <w:pStyle w:val="NoSpacing"/>
            </w:pPr>
            <w:r w:rsidRPr="000119B7">
              <w:t xml:space="preserve">(&lt; </w:t>
            </w:r>
            <w:r w:rsidR="00B33DDE">
              <w:t>1</w:t>
            </w:r>
            <w:r w:rsidR="00D3482C">
              <w:t>0</w:t>
            </w:r>
            <w:r w:rsidR="00B33DDE">
              <w:t>,</w:t>
            </w:r>
            <w:r w:rsidR="000119B7" w:rsidRPr="000119B7">
              <w:t>0</w:t>
            </w:r>
            <w:r w:rsidRPr="000119B7">
              <w:t>00 copies/ml blood)</w:t>
            </w:r>
          </w:p>
        </w:tc>
        <w:tc>
          <w:tcPr>
            <w:tcW w:w="4675" w:type="dxa"/>
            <w:vMerge/>
          </w:tcPr>
          <w:p w:rsidR="00EF2310" w:rsidRPr="000119B7" w:rsidRDefault="00EF2310" w:rsidP="00F133E0">
            <w:pPr>
              <w:pStyle w:val="NoSpacing"/>
            </w:pPr>
          </w:p>
        </w:tc>
      </w:tr>
      <w:tr w:rsidR="00EF2310" w:rsidRPr="000119B7" w:rsidTr="00EF2310">
        <w:tc>
          <w:tcPr>
            <w:tcW w:w="4675" w:type="dxa"/>
          </w:tcPr>
          <w:p w:rsidR="00EF2310" w:rsidRPr="000119B7" w:rsidRDefault="00EF2310" w:rsidP="00F133E0">
            <w:pPr>
              <w:pStyle w:val="NoSpacing"/>
            </w:pPr>
            <w:r w:rsidRPr="000119B7">
              <w:t>Negative</w:t>
            </w:r>
          </w:p>
        </w:tc>
        <w:tc>
          <w:tcPr>
            <w:tcW w:w="4675" w:type="dxa"/>
          </w:tcPr>
          <w:p w:rsidR="00EF2310" w:rsidRPr="000119B7" w:rsidRDefault="00D3482C" w:rsidP="00D3482C">
            <w:pPr>
              <w:pStyle w:val="NoSpacing"/>
            </w:pPr>
            <w:r>
              <w:t xml:space="preserve">CDV </w:t>
            </w:r>
            <w:r w:rsidR="00EF2310" w:rsidRPr="000119B7">
              <w:t>not detectable</w:t>
            </w:r>
          </w:p>
        </w:tc>
      </w:tr>
    </w:tbl>
    <w:p w:rsidR="00EF2310" w:rsidRPr="000119B7" w:rsidRDefault="00EF2310" w:rsidP="00F133E0">
      <w:pPr>
        <w:pStyle w:val="NoSpacing"/>
      </w:pPr>
    </w:p>
    <w:p w:rsidR="00EF2310" w:rsidRPr="000119B7" w:rsidRDefault="00B33DDE" w:rsidP="00F133E0">
      <w:pPr>
        <w:pStyle w:val="NoSpacing"/>
        <w:rPr>
          <w:b/>
        </w:rPr>
      </w:pPr>
      <w:proofErr w:type="spellStart"/>
      <w:r>
        <w:rPr>
          <w:b/>
        </w:rPr>
        <w:t>Babesia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gibsoni</w:t>
      </w:r>
      <w:proofErr w:type="spellEnd"/>
      <w:r>
        <w:rPr>
          <w:b/>
        </w:rPr>
        <w:t>/</w:t>
      </w:r>
      <w:proofErr w:type="spellStart"/>
      <w:r>
        <w:rPr>
          <w:b/>
        </w:rPr>
        <w:t>canis</w:t>
      </w:r>
      <w:proofErr w:type="spellEnd"/>
    </w:p>
    <w:p w:rsidR="00EF2310" w:rsidRPr="000119B7" w:rsidRDefault="00EF2310" w:rsidP="00F133E0">
      <w:pPr>
        <w:pStyle w:val="NoSpacing"/>
        <w:rPr>
          <w:i/>
          <w:iCs/>
          <w:lang w:bidi="he-IL"/>
        </w:rPr>
      </w:pPr>
    </w:p>
    <w:p w:rsidR="000119B7" w:rsidRPr="00B33DDE" w:rsidRDefault="00D3482C" w:rsidP="00B33DDE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>
        <w:rPr>
          <w:rFonts w:cs="Arial"/>
        </w:rPr>
        <w:t>Canine Distemper Virus (CDV) is an enveloped, negative-sense RNA virus that is closely related to the human measles virus.  Domestic dogs are the</w:t>
      </w:r>
      <w:r w:rsidR="00D57A58">
        <w:rPr>
          <w:rFonts w:cs="Arial"/>
        </w:rPr>
        <w:t xml:space="preserve"> </w:t>
      </w:r>
      <w:r>
        <w:rPr>
          <w:rFonts w:cs="Arial"/>
        </w:rPr>
        <w:t>most typical ho</w:t>
      </w:r>
      <w:r w:rsidR="00D57A58">
        <w:rPr>
          <w:rFonts w:cs="Arial"/>
        </w:rPr>
        <w:t>s</w:t>
      </w:r>
      <w:r>
        <w:rPr>
          <w:rFonts w:cs="Arial"/>
        </w:rPr>
        <w:t xml:space="preserve">ts, but </w:t>
      </w:r>
      <w:r w:rsidR="00D57A58">
        <w:rPr>
          <w:rFonts w:cs="Arial"/>
        </w:rPr>
        <w:t>t</w:t>
      </w:r>
      <w:r>
        <w:rPr>
          <w:rFonts w:cs="Arial"/>
        </w:rPr>
        <w:t>he</w:t>
      </w:r>
      <w:r w:rsidR="00D57A58">
        <w:rPr>
          <w:rFonts w:cs="Arial"/>
        </w:rPr>
        <w:t xml:space="preserve"> </w:t>
      </w:r>
      <w:r>
        <w:rPr>
          <w:rFonts w:cs="Arial"/>
        </w:rPr>
        <w:t>host spectrum of CDV also includes tigers, lions, leopards, foxed, ferrets, minks as well as marine mammals such as seals</w:t>
      </w:r>
      <w:r w:rsidR="00D57A58">
        <w:rPr>
          <w:rFonts w:cs="Arial"/>
        </w:rPr>
        <w:t xml:space="preserve"> (</w:t>
      </w:r>
      <w:proofErr w:type="spellStart"/>
      <w:r w:rsidR="00D57A58">
        <w:rPr>
          <w:rFonts w:cs="Arial"/>
        </w:rPr>
        <w:t>Vandevelde</w:t>
      </w:r>
      <w:proofErr w:type="spellEnd"/>
      <w:r w:rsidR="00D57A58">
        <w:rPr>
          <w:rFonts w:cs="Arial"/>
        </w:rPr>
        <w:t xml:space="preserve"> &amp; </w:t>
      </w:r>
      <w:proofErr w:type="spellStart"/>
      <w:r w:rsidR="00D57A58">
        <w:rPr>
          <w:rFonts w:cs="Arial"/>
        </w:rPr>
        <w:t>Zurbriggen</w:t>
      </w:r>
      <w:proofErr w:type="spellEnd"/>
      <w:r w:rsidR="00D57A58">
        <w:rPr>
          <w:rFonts w:cs="Arial"/>
        </w:rPr>
        <w:t xml:space="preserve">, 2005).  The transmission of CDV must involve direct animal to animal contact or contact with extremely fresh (&lt;30 </w:t>
      </w:r>
      <w:proofErr w:type="spellStart"/>
      <w:r w:rsidR="00D57A58">
        <w:rPr>
          <w:rFonts w:cs="Arial"/>
        </w:rPr>
        <w:t>mintues</w:t>
      </w:r>
      <w:proofErr w:type="spellEnd"/>
      <w:r w:rsidR="00D57A58">
        <w:rPr>
          <w:rFonts w:cs="Arial"/>
        </w:rPr>
        <w:t xml:space="preserve"> old) infectious body secretions.  Being an enveloped virus, CDV is very </w:t>
      </w:r>
      <w:r w:rsidR="00767D59">
        <w:rPr>
          <w:rFonts w:cs="Arial"/>
        </w:rPr>
        <w:t>susceptible</w:t>
      </w:r>
      <w:bookmarkStart w:id="0" w:name="_GoBack"/>
      <w:bookmarkEnd w:id="0"/>
      <w:r w:rsidR="00D57A58">
        <w:rPr>
          <w:rFonts w:cs="Arial"/>
        </w:rPr>
        <w:t xml:space="preserve"> to disinfectants.</w:t>
      </w:r>
    </w:p>
    <w:p w:rsidR="00B33DDE" w:rsidRPr="00B33DDE" w:rsidRDefault="00B33DDE" w:rsidP="000119B7">
      <w:pPr>
        <w:pStyle w:val="NoSpacing"/>
        <w:rPr>
          <w:b/>
        </w:rPr>
      </w:pPr>
    </w:p>
    <w:p w:rsidR="00EF2310" w:rsidRPr="00B33DDE" w:rsidRDefault="00EF2310" w:rsidP="000119B7">
      <w:pPr>
        <w:pStyle w:val="NoSpacing"/>
        <w:rPr>
          <w:b/>
        </w:rPr>
      </w:pPr>
      <w:r w:rsidRPr="00B33DDE">
        <w:rPr>
          <w:b/>
        </w:rPr>
        <w:t>Clinical Signs</w:t>
      </w:r>
    </w:p>
    <w:p w:rsidR="00EF2310" w:rsidRPr="00B33DDE" w:rsidRDefault="00EF2310" w:rsidP="00F133E0">
      <w:pPr>
        <w:pStyle w:val="NoSpacing"/>
      </w:pPr>
    </w:p>
    <w:p w:rsidR="00B33DDE" w:rsidRPr="00B33DDE" w:rsidRDefault="00B33DDE" w:rsidP="00B33DDE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EF2310" w:rsidRPr="00B33DDE" w:rsidRDefault="00F133E0" w:rsidP="00F133E0">
      <w:pPr>
        <w:pStyle w:val="NoSpacing"/>
        <w:rPr>
          <w:rFonts w:cs="Arial"/>
          <w:b/>
        </w:rPr>
      </w:pPr>
      <w:r w:rsidRPr="00B33DDE">
        <w:rPr>
          <w:rFonts w:cs="Arial"/>
          <w:b/>
        </w:rPr>
        <w:t>Standard Diagnostic Methods</w:t>
      </w:r>
    </w:p>
    <w:p w:rsidR="00EF2310" w:rsidRPr="00B33DDE" w:rsidRDefault="00EF2310" w:rsidP="00F133E0">
      <w:pPr>
        <w:pStyle w:val="NoSpacing"/>
        <w:rPr>
          <w:rFonts w:cs="Arial"/>
        </w:rPr>
      </w:pPr>
    </w:p>
    <w:p w:rsidR="00B33DDE" w:rsidRPr="00B33DDE" w:rsidRDefault="00B33DDE" w:rsidP="00F133E0">
      <w:pPr>
        <w:pStyle w:val="NoSpacing"/>
        <w:rPr>
          <w:rFonts w:cs="Arial"/>
          <w:b/>
        </w:rPr>
      </w:pPr>
    </w:p>
    <w:p w:rsidR="00EF2310" w:rsidRPr="00B33DDE" w:rsidRDefault="00EF2310" w:rsidP="00F133E0">
      <w:pPr>
        <w:pStyle w:val="NoSpacing"/>
        <w:rPr>
          <w:rFonts w:cs="Arial"/>
          <w:b/>
        </w:rPr>
      </w:pPr>
      <w:r w:rsidRPr="00B33DDE">
        <w:rPr>
          <w:rFonts w:cs="Arial"/>
          <w:b/>
        </w:rPr>
        <w:t>Our Method</w:t>
      </w:r>
    </w:p>
    <w:p w:rsidR="00EF2310" w:rsidRPr="00B33DDE" w:rsidRDefault="00EF2310" w:rsidP="00F133E0">
      <w:pPr>
        <w:pStyle w:val="NoSpacing"/>
        <w:rPr>
          <w:rFonts w:cs="Arial"/>
        </w:rPr>
      </w:pPr>
    </w:p>
    <w:sectPr w:rsidR="00EF2310" w:rsidRPr="00B33DDE" w:rsidSect="00F133E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310"/>
    <w:rsid w:val="000119B7"/>
    <w:rsid w:val="00052D5D"/>
    <w:rsid w:val="004C4F3E"/>
    <w:rsid w:val="00767D59"/>
    <w:rsid w:val="00A01C72"/>
    <w:rsid w:val="00B1799A"/>
    <w:rsid w:val="00B33DDE"/>
    <w:rsid w:val="00D3482C"/>
    <w:rsid w:val="00D57A58"/>
    <w:rsid w:val="00EF2310"/>
    <w:rsid w:val="00F13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485C7D-1A60-4CD5-9679-6B4CC7544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F2310"/>
  </w:style>
  <w:style w:type="table" w:styleId="TableGrid">
    <w:name w:val="Table Grid"/>
    <w:basedOn w:val="TableNormal"/>
    <w:uiPriority w:val="39"/>
    <w:rsid w:val="00EF2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F23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Auburn University CVM</Company>
  <LinksUpToDate>false</LinksUpToDate>
  <CharactersWithSpaces>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daltoka</dc:creator>
  <cp:keywords/>
  <dc:description/>
  <cp:lastModifiedBy>daltoka</cp:lastModifiedBy>
  <cp:revision>5</cp:revision>
  <dcterms:created xsi:type="dcterms:W3CDTF">2014-10-30T13:51:00Z</dcterms:created>
  <dcterms:modified xsi:type="dcterms:W3CDTF">2014-10-30T13:58:00Z</dcterms:modified>
</cp:coreProperties>
</file>